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hint="default" w:ascii="方正小标宋简体" w:hAnsi="宋体" w:eastAsia="方正小标宋简体"/>
          <w:bCs/>
          <w:sz w:val="36"/>
          <w:szCs w:val="36"/>
          <w:lang w:val="en-US" w:eastAsia="zh-CN"/>
        </w:rPr>
      </w:pPr>
      <w:r>
        <w:rPr>
          <w:rFonts w:hint="eastAsia" w:ascii="方正小标宋简体" w:hAnsi="宋体" w:eastAsia="方正小标宋简体"/>
          <w:bCs/>
          <w:sz w:val="36"/>
          <w:szCs w:val="36"/>
        </w:rPr>
        <w:t>中国地质大学（北京）</w:t>
      </w:r>
      <w:r>
        <w:rPr>
          <w:rFonts w:hint="eastAsia" w:ascii="方正小标宋简体" w:hAnsi="宋体" w:eastAsia="方正小标宋简体"/>
          <w:bCs/>
          <w:sz w:val="36"/>
          <w:szCs w:val="36"/>
          <w:lang w:val="en-US" w:eastAsia="zh-CN"/>
        </w:rPr>
        <w:t>地球科学与资源学院</w:t>
      </w:r>
    </w:p>
    <w:p>
      <w:pPr>
        <w:spacing w:line="580" w:lineRule="exact"/>
        <w:jc w:val="center"/>
        <w:rPr>
          <w:rFonts w:hint="default" w:ascii="方正小标宋简体" w:hAnsi="宋体" w:eastAsia="方正小标宋简体"/>
          <w:bCs/>
          <w:sz w:val="36"/>
          <w:szCs w:val="36"/>
          <w:lang w:val="en-US" w:eastAsia="zh-CN"/>
        </w:rPr>
      </w:pPr>
      <w:r>
        <w:rPr>
          <w:rFonts w:hint="eastAsia" w:ascii="方正小标宋简体" w:hAnsi="宋体" w:eastAsia="方正小标宋简体"/>
          <w:bCs/>
          <w:sz w:val="36"/>
          <w:szCs w:val="36"/>
        </w:rPr>
        <w:t>本科生国家奖学金</w:t>
      </w:r>
      <w:r>
        <w:rPr>
          <w:rFonts w:hint="eastAsia" w:ascii="方正小标宋简体" w:hAnsi="宋体" w:eastAsia="方正小标宋简体"/>
          <w:bCs/>
          <w:sz w:val="36"/>
          <w:szCs w:val="36"/>
          <w:lang w:val="en-US" w:eastAsia="zh-CN"/>
        </w:rPr>
        <w:t>评选实施细则（试行）</w:t>
      </w:r>
    </w:p>
    <w:p>
      <w:pPr>
        <w:spacing w:line="460" w:lineRule="exact"/>
        <w:jc w:val="both"/>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val="0"/>
        <w:snapToGrid w:val="0"/>
        <w:spacing w:line="550" w:lineRule="exact"/>
        <w:jc w:val="center"/>
        <w:textAlignment w:val="auto"/>
        <w:rPr>
          <w:rFonts w:ascii="黑体" w:hAnsi="黑体" w:eastAsia="黑体"/>
          <w:sz w:val="28"/>
          <w:szCs w:val="28"/>
        </w:rPr>
      </w:pPr>
      <w:r>
        <w:rPr>
          <w:rFonts w:hint="eastAsia" w:ascii="黑体" w:hAnsi="黑体" w:eastAsia="黑体"/>
          <w:sz w:val="28"/>
          <w:szCs w:val="28"/>
        </w:rPr>
        <w:t>第一章  总  则</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第一条  为进一步规范我</w:t>
      </w:r>
      <w:r>
        <w:rPr>
          <w:rFonts w:hint="eastAsia" w:ascii="仿宋_GB2312" w:eastAsia="仿宋_GB2312"/>
          <w:sz w:val="28"/>
          <w:szCs w:val="28"/>
          <w:lang w:val="en-US" w:eastAsia="zh-CN"/>
        </w:rPr>
        <w:t>院</w:t>
      </w:r>
      <w:r>
        <w:rPr>
          <w:rFonts w:hint="eastAsia" w:ascii="仿宋_GB2312" w:eastAsia="仿宋_GB2312"/>
          <w:sz w:val="28"/>
          <w:szCs w:val="28"/>
        </w:rPr>
        <w:t>本科生国家奖学金评审工作，确保评审质量和评审结果的权威性，激励学生勤奋学习、努力进取，德、智、体、美、劳全面发展，根据</w:t>
      </w:r>
      <w:r>
        <w:rPr>
          <w:rFonts w:ascii="仿宋_GB2312" w:eastAsia="仿宋_GB2312"/>
          <w:sz w:val="28"/>
          <w:szCs w:val="28"/>
        </w:rPr>
        <w:t>《</w:t>
      </w:r>
      <w:r>
        <w:rPr>
          <w:rFonts w:hint="eastAsia" w:ascii="仿宋_GB2312" w:eastAsia="仿宋_GB2312"/>
          <w:sz w:val="28"/>
          <w:szCs w:val="28"/>
        </w:rPr>
        <w:t>中国地质大学（北京）本科生国家奖学金管理实施办法</w:t>
      </w:r>
      <w:r>
        <w:rPr>
          <w:rFonts w:ascii="仿宋_GB2312" w:eastAsia="仿宋_GB2312"/>
          <w:sz w:val="28"/>
          <w:szCs w:val="28"/>
        </w:rPr>
        <w:t>》（</w:t>
      </w:r>
      <w:r>
        <w:rPr>
          <w:rFonts w:hint="eastAsia" w:ascii="仿宋_GB2312" w:eastAsia="仿宋_GB2312"/>
          <w:sz w:val="28"/>
          <w:szCs w:val="28"/>
        </w:rPr>
        <w:t>中地大京发[2020]11</w:t>
      </w:r>
      <w:r>
        <w:rPr>
          <w:rFonts w:hint="eastAsia" w:ascii="仿宋_GB2312" w:eastAsia="仿宋_GB2312"/>
          <w:sz w:val="28"/>
          <w:szCs w:val="28"/>
          <w:lang w:val="en-US" w:eastAsia="zh-CN"/>
        </w:rPr>
        <w:t>3</w:t>
      </w:r>
      <w:r>
        <w:rPr>
          <w:rFonts w:hint="eastAsia" w:ascii="仿宋_GB2312" w:eastAsia="仿宋_GB2312"/>
          <w:sz w:val="28"/>
          <w:szCs w:val="28"/>
        </w:rPr>
        <w:t>号</w:t>
      </w:r>
      <w:r>
        <w:rPr>
          <w:rFonts w:ascii="仿宋_GB2312" w:eastAsia="仿宋_GB2312"/>
          <w:sz w:val="28"/>
          <w:szCs w:val="28"/>
        </w:rPr>
        <w:t>）</w:t>
      </w:r>
      <w:r>
        <w:rPr>
          <w:rFonts w:hint="eastAsia" w:ascii="仿宋_GB2312" w:eastAsia="仿宋_GB2312"/>
          <w:sz w:val="28"/>
          <w:szCs w:val="28"/>
        </w:rPr>
        <w:t>文件精神，结合我</w:t>
      </w:r>
      <w:r>
        <w:rPr>
          <w:rFonts w:hint="eastAsia" w:ascii="仿宋_GB2312" w:eastAsia="仿宋_GB2312"/>
          <w:sz w:val="28"/>
          <w:szCs w:val="28"/>
          <w:lang w:val="en-US" w:eastAsia="zh-CN"/>
        </w:rPr>
        <w:t>院</w:t>
      </w:r>
      <w:r>
        <w:rPr>
          <w:rFonts w:hint="eastAsia" w:ascii="仿宋_GB2312" w:eastAsia="仿宋_GB2312"/>
          <w:sz w:val="28"/>
          <w:szCs w:val="28"/>
        </w:rPr>
        <w:t>实际情况，制定本</w:t>
      </w:r>
      <w:r>
        <w:rPr>
          <w:rFonts w:hint="eastAsia" w:ascii="仿宋_GB2312" w:eastAsia="仿宋_GB2312"/>
          <w:sz w:val="28"/>
          <w:szCs w:val="28"/>
          <w:lang w:val="en-US" w:eastAsia="zh-CN"/>
        </w:rPr>
        <w:t>细则</w:t>
      </w:r>
      <w:r>
        <w:rPr>
          <w:rFonts w:hint="eastAsia" w:ascii="仿宋_GB2312" w:eastAsia="仿宋_GB2312"/>
          <w:sz w:val="28"/>
          <w:szCs w:val="28"/>
        </w:rPr>
        <w:t>。</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第二条  本科生国家奖学金用于奖励我</w:t>
      </w:r>
      <w:r>
        <w:rPr>
          <w:rFonts w:hint="eastAsia" w:ascii="仿宋_GB2312" w:eastAsia="仿宋_GB2312"/>
          <w:sz w:val="28"/>
          <w:szCs w:val="28"/>
          <w:lang w:val="en-US" w:eastAsia="zh-CN"/>
        </w:rPr>
        <w:t>院</w:t>
      </w:r>
      <w:r>
        <w:rPr>
          <w:rFonts w:hint="eastAsia" w:ascii="仿宋_GB2312" w:eastAsia="仿宋_GB2312"/>
          <w:sz w:val="28"/>
          <w:szCs w:val="28"/>
        </w:rPr>
        <w:t>全日制本科（含第二学士学位）学生中特别优秀的学生。</w:t>
      </w:r>
    </w:p>
    <w:p>
      <w:pPr>
        <w:keepNext w:val="0"/>
        <w:keepLines w:val="0"/>
        <w:pageBreakBefore w:val="0"/>
        <w:widowControl w:val="0"/>
        <w:kinsoku/>
        <w:wordWrap/>
        <w:overflowPunct/>
        <w:topLinePunct w:val="0"/>
        <w:autoSpaceDE/>
        <w:autoSpaceDN/>
        <w:bidi w:val="0"/>
        <w:adjustRightInd w:val="0"/>
        <w:snapToGrid w:val="0"/>
        <w:spacing w:line="550" w:lineRule="exact"/>
        <w:jc w:val="center"/>
        <w:textAlignment w:val="auto"/>
        <w:rPr>
          <w:rFonts w:hint="eastAsia" w:ascii="黑体" w:hAnsi="黑体" w:eastAsia="黑体"/>
          <w:sz w:val="28"/>
          <w:szCs w:val="28"/>
        </w:rPr>
      </w:pPr>
      <w:r>
        <w:rPr>
          <w:rFonts w:hint="eastAsia" w:ascii="黑体" w:hAnsi="黑体" w:eastAsia="黑体"/>
          <w:sz w:val="28"/>
          <w:szCs w:val="28"/>
        </w:rPr>
        <w:t>第二章  奖励标准与评选条件</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pacing w:val="-12"/>
          <w:sz w:val="28"/>
          <w:szCs w:val="28"/>
        </w:rPr>
      </w:pPr>
      <w:r>
        <w:rPr>
          <w:rFonts w:hint="eastAsia" w:ascii="仿宋_GB2312" w:eastAsia="仿宋_GB2312"/>
          <w:sz w:val="28"/>
          <w:szCs w:val="28"/>
        </w:rPr>
        <w:t>第三</w:t>
      </w:r>
      <w:r>
        <w:rPr>
          <w:rFonts w:hint="eastAsia" w:ascii="仿宋_GB2312" w:eastAsia="仿宋_GB2312"/>
          <w:spacing w:val="-10"/>
          <w:sz w:val="28"/>
          <w:szCs w:val="28"/>
        </w:rPr>
        <w:t>条</w:t>
      </w:r>
      <w:r>
        <w:rPr>
          <w:rFonts w:hint="eastAsia" w:ascii="仿宋_GB2312" w:eastAsia="仿宋_GB2312"/>
          <w:spacing w:val="-10"/>
          <w:sz w:val="28"/>
          <w:szCs w:val="28"/>
          <w:lang w:val="en-US" w:eastAsia="zh-CN"/>
        </w:rPr>
        <w:t xml:space="preserve">  </w:t>
      </w:r>
      <w:r>
        <w:rPr>
          <w:rFonts w:hint="eastAsia" w:ascii="仿宋_GB2312" w:eastAsia="仿宋_GB2312"/>
          <w:spacing w:val="-10"/>
          <w:sz w:val="28"/>
          <w:szCs w:val="28"/>
        </w:rPr>
        <w:t>本</w:t>
      </w:r>
      <w:r>
        <w:rPr>
          <w:rFonts w:hint="eastAsia" w:ascii="仿宋_GB2312" w:eastAsia="仿宋_GB2312"/>
          <w:spacing w:val="-12"/>
          <w:sz w:val="28"/>
          <w:szCs w:val="28"/>
        </w:rPr>
        <w:t>科生国家奖学金的奖励标准为每生每年8000元。</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第四条</w:t>
      </w:r>
      <w:r>
        <w:rPr>
          <w:rFonts w:hint="eastAsia" w:ascii="仿宋_GB2312" w:eastAsia="仿宋_GB2312"/>
          <w:sz w:val="28"/>
          <w:szCs w:val="28"/>
          <w:lang w:val="en-US" w:eastAsia="zh-CN"/>
        </w:rPr>
        <w:t xml:space="preserve">  </w:t>
      </w:r>
      <w:r>
        <w:rPr>
          <w:rFonts w:hint="eastAsia" w:ascii="仿宋_GB2312" w:eastAsia="仿宋_GB2312"/>
          <w:sz w:val="28"/>
          <w:szCs w:val="28"/>
        </w:rPr>
        <w:t>本科生国家奖学金的基本申请条件：</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（一）具有中华人民共和国国籍；</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（二）热爱社会主义祖国，拥护中国共产党的领导；</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（三）遵守宪法和法律，遵守学校规章制度；</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（四）诚实守信，道德品质优良；</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rPr>
      </w:pPr>
      <w:r>
        <w:rPr>
          <w:rFonts w:hint="eastAsia" w:ascii="仿宋_GB2312" w:eastAsia="仿宋_GB2312"/>
          <w:sz w:val="28"/>
          <w:szCs w:val="28"/>
        </w:rPr>
        <w:t>（五）在校期间学习成绩优异，创新能力、社会实践、综合素质等方面特别突出。</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第五条  在符合基本条件的前提下，申请人还应满足以下具体条件：</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rPr>
      </w:pPr>
      <w:r>
        <w:rPr>
          <w:rFonts w:hint="eastAsia" w:ascii="仿宋_GB2312" w:eastAsia="仿宋_GB2312"/>
          <w:sz w:val="28"/>
          <w:szCs w:val="28"/>
        </w:rPr>
        <w:t>（一）年级要求：二年级以上（含二年级）的本科生。特殊学制的学生，根据当年所修课程层次确定参与相应学段的国家奖学金评定，原则上从入学第六年开始不再具备本科生国家奖学金申请资格。</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二）成绩要求：参评学年内学习成绩平均85分以上，单科成绩不低于75分，且学习成绩排名与综合素质测评成绩排名均在本年级本专业位于前10%（含10%）的学生，可以申请本科生国家奖学金。学习成绩排名和综合素质测评成绩排名超过前10%，但均位于前30%（含30%）的学生，如在其他方面表现非常突出，也可申请本科生国家奖学金，但需提交详细的证明材料，证明材料须经学院审核盖章确认。</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其他方面表现非常突出是指在道德风尚、学术研究、学科竞赛、创新发明、社会实践、社会工作、体育竞赛、艺术展演等某一方面表现特别优秀。具体是指：</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1．在社会主义精神文明建设中表现突出，具有见义勇为、助人为乐、奉献爱心、服务社会、自立自强的实际行动，在本校、本地区产生重大影响，在全国产生较大影响，有助于树立良好的社会风尚。</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2．在学术研究上取得显著成绩，以第一作者发表的通过专家鉴定的高水平论文，以第一、二作者出版的通过专家鉴定的学术专著。</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3．在学科竞赛方面取得显著成绩，在国际和全国性专业学科竞赛、课外学术科技竞赛、中国“互联网+”大学生创新创业大赛等竞赛中获一等奖（或金奖）及以上奖励。</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4．在创新发明方面取得显著成绩，科研成果获省、部级以上奖励或获得通过专家鉴定的国家专利（不包括实用新型专利、外观设计专利）。</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5．在体育竞赛中取得显著成绩，为国家争得荣誉。非体育专业学生参加省级以上体育比赛获得个人项目前三名，集体项目前二名；高水平运动员参加国际和全国性体育比赛获得个人项目前三名、集体项目前二名。集体项目应为上场主力队员。</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pacing w:val="-12"/>
          <w:sz w:val="28"/>
          <w:szCs w:val="28"/>
        </w:rPr>
      </w:pPr>
      <w:r>
        <w:rPr>
          <w:rFonts w:hint="eastAsia" w:ascii="仿宋_GB2312" w:eastAsia="仿宋_GB2312"/>
          <w:sz w:val="28"/>
          <w:szCs w:val="28"/>
        </w:rPr>
        <w:t>6．在</w:t>
      </w:r>
      <w:r>
        <w:rPr>
          <w:rFonts w:hint="eastAsia" w:ascii="仿宋_GB2312" w:eastAsia="仿宋_GB2312"/>
          <w:spacing w:val="-12"/>
          <w:sz w:val="28"/>
          <w:szCs w:val="28"/>
        </w:rPr>
        <w:t>艺术展演方面取得显著成绩，参加全国大学生艺术展演获得一、二等奖，参加省级艺术展演获得一等奖；艺术类专业学生参加国际和全国性比赛获得前三名。集体项目应为主要演员。</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7．获全国十大杰出青年、中国青年五四奖章、中国大学生年度人物等全国性荣誉称号。</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8．其它应当认定为表现非常突出的情形。</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第六条  同一学年内，获得国家奖学金的家庭经济困难学生可以同时申请并获得国家助学金，但不能同时获得国家励志奖学金。</w:t>
      </w:r>
    </w:p>
    <w:p>
      <w:pPr>
        <w:keepNext w:val="0"/>
        <w:keepLines w:val="0"/>
        <w:pageBreakBefore w:val="0"/>
        <w:widowControl w:val="0"/>
        <w:kinsoku/>
        <w:wordWrap/>
        <w:overflowPunct/>
        <w:topLinePunct w:val="0"/>
        <w:autoSpaceDE/>
        <w:autoSpaceDN/>
        <w:bidi w:val="0"/>
        <w:adjustRightInd w:val="0"/>
        <w:snapToGrid w:val="0"/>
        <w:spacing w:line="550" w:lineRule="exact"/>
        <w:jc w:val="center"/>
        <w:textAlignment w:val="auto"/>
        <w:rPr>
          <w:rFonts w:hint="eastAsia" w:ascii="黑体" w:hAnsi="黑体" w:eastAsia="黑体"/>
          <w:sz w:val="28"/>
          <w:szCs w:val="28"/>
        </w:rPr>
      </w:pPr>
      <w:r>
        <w:rPr>
          <w:rFonts w:hint="eastAsia" w:ascii="黑体" w:hAnsi="黑体" w:eastAsia="黑体"/>
          <w:sz w:val="28"/>
          <w:szCs w:val="28"/>
        </w:rPr>
        <w:t>第三章  评审组织机构</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lang w:val="en-US" w:eastAsia="zh-CN"/>
        </w:rPr>
      </w:pPr>
      <w:r>
        <w:rPr>
          <w:rFonts w:hint="eastAsia" w:ascii="仿宋_GB2312" w:eastAsia="仿宋_GB2312"/>
          <w:sz w:val="28"/>
          <w:szCs w:val="28"/>
        </w:rPr>
        <w:t>第七条  在学校国家奖助学金评审工作领导小组（以下简称领导小组）的领导下，</w:t>
      </w:r>
      <w:r>
        <w:rPr>
          <w:rFonts w:hint="eastAsia" w:ascii="仿宋_GB2312" w:eastAsia="仿宋_GB2312"/>
          <w:sz w:val="28"/>
          <w:szCs w:val="28"/>
          <w:lang w:val="en-US" w:eastAsia="zh-CN"/>
        </w:rPr>
        <w:t>地球科学与资源</w:t>
      </w:r>
      <w:r>
        <w:rPr>
          <w:rFonts w:hint="eastAsia" w:ascii="仿宋_GB2312" w:eastAsia="仿宋_GB2312"/>
          <w:sz w:val="28"/>
          <w:szCs w:val="28"/>
        </w:rPr>
        <w:t>学院成立本科生国家奖学金评审委员会（以下简称评审委员会），负责本学院本科生国家奖学金和国家励志奖学金的评审工作</w:t>
      </w:r>
      <w:r>
        <w:rPr>
          <w:rFonts w:hint="eastAsia" w:ascii="仿宋_GB2312" w:eastAsia="仿宋_GB2312"/>
          <w:sz w:val="28"/>
          <w:szCs w:val="28"/>
          <w:lang w:eastAsia="zh-CN"/>
        </w:rPr>
        <w:t>。</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rPr>
      </w:pPr>
      <w:r>
        <w:rPr>
          <w:rFonts w:hint="eastAsia" w:ascii="仿宋_GB2312" w:eastAsia="仿宋_GB2312"/>
          <w:sz w:val="28"/>
          <w:szCs w:val="28"/>
        </w:rPr>
        <w:t>评审委员会由</w:t>
      </w:r>
      <w:r>
        <w:rPr>
          <w:rFonts w:hint="eastAsia" w:ascii="仿宋_GB2312" w:eastAsia="仿宋_GB2312"/>
          <w:sz w:val="28"/>
          <w:szCs w:val="28"/>
          <w:lang w:val="en-US" w:eastAsia="zh-CN"/>
        </w:rPr>
        <w:t>地</w:t>
      </w:r>
      <w:r>
        <w:rPr>
          <w:rFonts w:hint="eastAsia" w:ascii="仿宋_GB2312" w:eastAsia="仿宋_GB2312"/>
          <w:sz w:val="28"/>
          <w:szCs w:val="28"/>
        </w:rPr>
        <w:t>学院主要领导任主任委员，分管学生工作和本科生教学的领导、辅导员、班主任和学生代表（未申报当年度国家奖学金）任委员。</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rPr>
      </w:pPr>
      <w:r>
        <w:rPr>
          <w:rFonts w:hint="eastAsia" w:ascii="仿宋_GB2312" w:eastAsia="仿宋_GB2312"/>
          <w:sz w:val="28"/>
          <w:szCs w:val="28"/>
        </w:rPr>
        <w:t>学院评审委员会下设办公室，设在学工组，负责组织、协调本学院的评审工作，办公室主任由学工组长兼任。</w:t>
      </w:r>
    </w:p>
    <w:p>
      <w:pPr>
        <w:keepNext w:val="0"/>
        <w:keepLines w:val="0"/>
        <w:pageBreakBefore w:val="0"/>
        <w:widowControl w:val="0"/>
        <w:kinsoku/>
        <w:wordWrap/>
        <w:overflowPunct/>
        <w:topLinePunct w:val="0"/>
        <w:autoSpaceDE/>
        <w:autoSpaceDN/>
        <w:bidi w:val="0"/>
        <w:adjustRightInd w:val="0"/>
        <w:snapToGrid w:val="0"/>
        <w:spacing w:line="550" w:lineRule="exact"/>
        <w:jc w:val="center"/>
        <w:textAlignment w:val="auto"/>
        <w:rPr>
          <w:rFonts w:hint="eastAsia" w:ascii="黑体" w:hAnsi="黑体" w:eastAsia="黑体"/>
          <w:sz w:val="28"/>
          <w:szCs w:val="28"/>
          <w:lang w:val="en-US" w:eastAsia="zh-CN"/>
        </w:rPr>
      </w:pPr>
      <w:r>
        <w:rPr>
          <w:rFonts w:hint="eastAsia" w:ascii="黑体" w:hAnsi="黑体" w:eastAsia="黑体"/>
          <w:sz w:val="28"/>
          <w:szCs w:val="28"/>
        </w:rPr>
        <w:t>第</w:t>
      </w:r>
      <w:r>
        <w:rPr>
          <w:rFonts w:hint="eastAsia" w:ascii="黑体" w:hAnsi="黑体" w:eastAsia="黑体"/>
          <w:sz w:val="28"/>
          <w:szCs w:val="28"/>
          <w:lang w:val="en-US" w:eastAsia="zh-CN"/>
        </w:rPr>
        <w:t>四</w:t>
      </w:r>
      <w:r>
        <w:rPr>
          <w:rFonts w:hint="eastAsia" w:ascii="黑体" w:hAnsi="黑体" w:eastAsia="黑体"/>
          <w:sz w:val="28"/>
          <w:szCs w:val="28"/>
        </w:rPr>
        <w:t>章  名额分配及评审</w:t>
      </w:r>
      <w:r>
        <w:rPr>
          <w:rFonts w:hint="eastAsia" w:ascii="黑体" w:hAnsi="黑体" w:eastAsia="黑体"/>
          <w:sz w:val="28"/>
          <w:szCs w:val="28"/>
          <w:lang w:val="en-US" w:eastAsia="zh-CN"/>
        </w:rPr>
        <w:t>方式</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rPr>
      </w:pPr>
      <w:r>
        <w:rPr>
          <w:rFonts w:hint="eastAsia" w:ascii="仿宋_GB2312" w:eastAsia="仿宋_GB2312"/>
          <w:sz w:val="28"/>
          <w:szCs w:val="28"/>
        </w:rPr>
        <w:t>第</w:t>
      </w:r>
      <w:r>
        <w:rPr>
          <w:rFonts w:hint="eastAsia" w:ascii="仿宋_GB2312" w:eastAsia="仿宋_GB2312"/>
          <w:sz w:val="28"/>
          <w:szCs w:val="28"/>
          <w:lang w:val="en-US" w:eastAsia="zh-CN"/>
        </w:rPr>
        <w:t>八</w:t>
      </w:r>
      <w:r>
        <w:rPr>
          <w:rFonts w:hint="eastAsia" w:ascii="仿宋_GB2312" w:eastAsia="仿宋_GB2312"/>
          <w:spacing w:val="-6"/>
          <w:sz w:val="28"/>
          <w:szCs w:val="28"/>
        </w:rPr>
        <w:t>条  本</w:t>
      </w:r>
      <w:r>
        <w:rPr>
          <w:rFonts w:hint="eastAsia" w:ascii="仿宋_GB2312" w:eastAsia="仿宋_GB2312"/>
          <w:sz w:val="28"/>
          <w:szCs w:val="28"/>
        </w:rPr>
        <w:t>科生国家奖学金评审坚持公开、公平、公正、择优的原则，根据</w:t>
      </w:r>
      <w:r>
        <w:rPr>
          <w:rFonts w:hint="eastAsia" w:ascii="仿宋_GB2312" w:eastAsia="仿宋_GB2312"/>
          <w:sz w:val="28"/>
          <w:szCs w:val="28"/>
          <w:lang w:val="en-US" w:eastAsia="zh-CN"/>
        </w:rPr>
        <w:t>学校</w:t>
      </w:r>
      <w:r>
        <w:rPr>
          <w:rFonts w:hint="eastAsia" w:ascii="仿宋_GB2312" w:eastAsia="仿宋_GB2312"/>
          <w:sz w:val="28"/>
          <w:szCs w:val="28"/>
        </w:rPr>
        <w:t>下达</w:t>
      </w:r>
      <w:r>
        <w:rPr>
          <w:rFonts w:hint="eastAsia" w:ascii="仿宋_GB2312" w:eastAsia="仿宋_GB2312"/>
          <w:sz w:val="28"/>
          <w:szCs w:val="28"/>
          <w:lang w:val="en-US" w:eastAsia="zh-CN"/>
        </w:rPr>
        <w:t>至我院的指标</w:t>
      </w:r>
      <w:r>
        <w:rPr>
          <w:rFonts w:hint="eastAsia" w:ascii="仿宋_GB2312" w:eastAsia="仿宋_GB2312"/>
          <w:sz w:val="28"/>
          <w:szCs w:val="28"/>
        </w:rPr>
        <w:t>实行等额评审，每学年评审一次。</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lang w:val="en-US" w:eastAsia="zh-CN"/>
        </w:rPr>
      </w:pPr>
      <w:r>
        <w:rPr>
          <w:rFonts w:hint="eastAsia" w:ascii="仿宋_GB2312" w:eastAsia="仿宋_GB2312"/>
          <w:sz w:val="28"/>
          <w:szCs w:val="28"/>
        </w:rPr>
        <w:t>第</w:t>
      </w:r>
      <w:r>
        <w:rPr>
          <w:rFonts w:hint="eastAsia" w:ascii="仿宋_GB2312" w:eastAsia="仿宋_GB2312"/>
          <w:sz w:val="28"/>
          <w:szCs w:val="28"/>
          <w:lang w:val="en-US" w:eastAsia="zh-CN"/>
        </w:rPr>
        <w:t>九</w:t>
      </w:r>
      <w:r>
        <w:rPr>
          <w:rFonts w:hint="eastAsia" w:ascii="仿宋_GB2312" w:eastAsia="仿宋_GB2312"/>
          <w:sz w:val="28"/>
          <w:szCs w:val="28"/>
        </w:rPr>
        <w:t>条  评审</w:t>
      </w:r>
      <w:r>
        <w:rPr>
          <w:rFonts w:hint="eastAsia" w:ascii="仿宋_GB2312" w:eastAsia="仿宋_GB2312"/>
          <w:sz w:val="28"/>
          <w:szCs w:val="28"/>
          <w:lang w:val="en-US" w:eastAsia="zh-CN"/>
        </w:rPr>
        <w:t>方式</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default" w:ascii="仿宋_GB2312" w:eastAsia="仿宋_GB2312"/>
          <w:sz w:val="28"/>
          <w:szCs w:val="28"/>
          <w:lang w:val="en-US" w:eastAsia="zh-CN"/>
        </w:rPr>
      </w:pPr>
      <w:r>
        <w:rPr>
          <w:rFonts w:hint="eastAsia" w:ascii="仿宋_GB2312" w:eastAsia="仿宋_GB2312"/>
          <w:sz w:val="28"/>
          <w:szCs w:val="28"/>
          <w:lang w:val="en-US" w:eastAsia="zh-CN"/>
        </w:rPr>
        <w:t>地学院评选本科生国家奖学金采取答辩的形式。</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default" w:ascii="仿宋_GB2312" w:eastAsia="仿宋_GB2312"/>
          <w:sz w:val="28"/>
          <w:szCs w:val="28"/>
          <w:lang w:val="en-US" w:eastAsia="zh-CN"/>
        </w:rPr>
      </w:pPr>
      <w:r>
        <w:rPr>
          <w:rFonts w:hint="eastAsia" w:ascii="仿宋_GB2312" w:eastAsia="仿宋_GB2312"/>
          <w:sz w:val="28"/>
          <w:szCs w:val="28"/>
          <w:lang w:val="en-US" w:eastAsia="zh-CN"/>
        </w:rPr>
        <w:t>（一）答辩方法</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lang w:val="en-US" w:eastAsia="zh-CN"/>
        </w:rPr>
      </w:pPr>
      <w:r>
        <w:rPr>
          <w:rFonts w:hint="eastAsia" w:ascii="仿宋_GB2312" w:eastAsia="仿宋_GB2312"/>
          <w:sz w:val="28"/>
          <w:szCs w:val="28"/>
          <w:lang w:val="en-US" w:eastAsia="zh-CN"/>
        </w:rPr>
        <w:t>各年级按专业推选出候选人参加本年级的国奖序列答辩，参与答辩的同学需提前一天到指定地点抽签决定答辩顺序。</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default" w:ascii="仿宋_GB2312" w:eastAsia="仿宋_GB2312"/>
          <w:sz w:val="28"/>
          <w:szCs w:val="28"/>
          <w:lang w:val="en-US" w:eastAsia="zh-CN"/>
        </w:rPr>
      </w:pPr>
      <w:r>
        <w:rPr>
          <w:rFonts w:hint="eastAsia" w:ascii="仿宋_GB2312" w:eastAsia="仿宋_GB2312"/>
          <w:sz w:val="28"/>
          <w:szCs w:val="28"/>
          <w:lang w:val="en-US" w:eastAsia="zh-CN"/>
        </w:rPr>
        <w:t>答辩环节由参与答辩本人进行陈述，每名同学需准备3-5分钟的PPT演示文稿。答辩完毕后，与会评委根据各同学的答辩内容情况进行评分。答辩评委由各年级辅导员、教师代表、学生代表组成。</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lang w:val="en-US" w:eastAsia="zh-CN"/>
        </w:rPr>
      </w:pPr>
      <w:r>
        <w:rPr>
          <w:rFonts w:hint="eastAsia" w:ascii="仿宋_GB2312" w:eastAsia="仿宋_GB2312"/>
          <w:sz w:val="28"/>
          <w:szCs w:val="28"/>
          <w:lang w:val="en-US" w:eastAsia="zh-CN"/>
        </w:rPr>
        <w:t>（二）评比办法</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rPr>
      </w:pPr>
      <w:r>
        <w:rPr>
          <w:rFonts w:hint="eastAsia" w:ascii="仿宋_GB2312" w:eastAsia="仿宋_GB2312"/>
          <w:sz w:val="28"/>
          <w:szCs w:val="28"/>
          <w:lang w:val="en-US" w:eastAsia="zh-CN"/>
        </w:rPr>
        <w:t>综合各评委给分，去除最高分和最低分，求其平均分即为答辩最终得分，评审委员会参照答辩结果确定拟推荐名单。</w:t>
      </w:r>
    </w:p>
    <w:p>
      <w:pPr>
        <w:keepNext w:val="0"/>
        <w:keepLines w:val="0"/>
        <w:pageBreakBefore w:val="0"/>
        <w:widowControl w:val="0"/>
        <w:kinsoku/>
        <w:wordWrap/>
        <w:overflowPunct/>
        <w:topLinePunct w:val="0"/>
        <w:autoSpaceDE/>
        <w:autoSpaceDN/>
        <w:bidi w:val="0"/>
        <w:adjustRightInd w:val="0"/>
        <w:snapToGrid w:val="0"/>
        <w:spacing w:line="550" w:lineRule="exact"/>
        <w:jc w:val="center"/>
        <w:textAlignment w:val="auto"/>
        <w:rPr>
          <w:rFonts w:ascii="仿宋_GB2312" w:eastAsia="仿宋_GB2312"/>
          <w:sz w:val="28"/>
          <w:szCs w:val="28"/>
        </w:rPr>
      </w:pPr>
      <w:r>
        <w:rPr>
          <w:rFonts w:hint="eastAsia" w:ascii="黑体" w:hAnsi="黑体" w:eastAsia="黑体"/>
          <w:sz w:val="28"/>
          <w:szCs w:val="28"/>
        </w:rPr>
        <w:t>第</w:t>
      </w:r>
      <w:r>
        <w:rPr>
          <w:rFonts w:hint="eastAsia" w:ascii="黑体" w:hAnsi="黑体" w:eastAsia="黑体"/>
          <w:sz w:val="28"/>
          <w:szCs w:val="28"/>
          <w:lang w:val="en-US" w:eastAsia="zh-CN"/>
        </w:rPr>
        <w:t>五</w:t>
      </w:r>
      <w:r>
        <w:rPr>
          <w:rFonts w:hint="eastAsia" w:ascii="黑体" w:hAnsi="黑体" w:eastAsia="黑体"/>
          <w:sz w:val="28"/>
          <w:szCs w:val="28"/>
        </w:rPr>
        <w:t>章  评审程序及要求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rPr>
      </w:pPr>
      <w:r>
        <w:rPr>
          <w:rFonts w:hint="eastAsia" w:ascii="仿宋_GB2312" w:eastAsia="仿宋_GB2312"/>
          <w:sz w:val="28"/>
          <w:szCs w:val="28"/>
          <w:lang w:val="en-US" w:eastAsia="zh-CN"/>
        </w:rPr>
        <w:t>第十条</w:t>
      </w:r>
      <w:r>
        <w:rPr>
          <w:rFonts w:hint="eastAsia" w:ascii="仿宋_GB2312" w:eastAsia="仿宋_GB2312"/>
          <w:sz w:val="28"/>
          <w:szCs w:val="28"/>
        </w:rPr>
        <w:t xml:space="preserve"> </w:t>
      </w:r>
      <w:r>
        <w:rPr>
          <w:rFonts w:hint="eastAsia" w:ascii="仿宋_GB2312" w:eastAsia="仿宋_GB2312"/>
          <w:sz w:val="28"/>
          <w:szCs w:val="28"/>
          <w:lang w:val="en-US" w:eastAsia="zh-CN"/>
        </w:rPr>
        <w:t xml:space="preserve"> </w:t>
      </w:r>
      <w:r>
        <w:rPr>
          <w:rFonts w:hint="eastAsia" w:ascii="仿宋_GB2312" w:eastAsia="仿宋_GB2312"/>
          <w:sz w:val="28"/>
          <w:szCs w:val="28"/>
        </w:rPr>
        <w:t>凡符合上述第四条基本申请条件和第五条具体条件的学生，均可向</w:t>
      </w:r>
      <w:r>
        <w:rPr>
          <w:rFonts w:hint="eastAsia" w:ascii="仿宋_GB2312" w:eastAsia="仿宋_GB2312"/>
          <w:sz w:val="28"/>
          <w:szCs w:val="28"/>
          <w:lang w:val="en-US" w:eastAsia="zh-CN"/>
        </w:rPr>
        <w:t>本</w:t>
      </w:r>
      <w:r>
        <w:rPr>
          <w:rFonts w:hint="eastAsia" w:ascii="仿宋_GB2312" w:eastAsia="仿宋_GB2312"/>
          <w:sz w:val="28"/>
          <w:szCs w:val="28"/>
        </w:rPr>
        <w:t>学院提出书面申请</w:t>
      </w:r>
      <w:r>
        <w:rPr>
          <w:rFonts w:hint="eastAsia" w:ascii="仿宋_GB2312" w:eastAsia="仿宋_GB2312"/>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rPr>
      </w:pPr>
      <w:r>
        <w:rPr>
          <w:rFonts w:hint="eastAsia" w:ascii="仿宋_GB2312" w:eastAsia="仿宋_GB2312"/>
          <w:sz w:val="28"/>
          <w:szCs w:val="28"/>
          <w:lang w:val="en-US" w:eastAsia="zh-CN"/>
        </w:rPr>
        <w:t>第十一条  评审程序</w:t>
      </w:r>
    </w:p>
    <w:p>
      <w:pPr>
        <w:keepNext w:val="0"/>
        <w:keepLines w:val="0"/>
        <w:pageBreakBefore w:val="0"/>
        <w:widowControl w:val="0"/>
        <w:numPr>
          <w:ilvl w:val="0"/>
          <w:numId w:val="0"/>
        </w:numPr>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rPr>
      </w:pPr>
      <w:r>
        <w:rPr>
          <w:rFonts w:hint="eastAsia" w:ascii="仿宋_GB2312" w:eastAsia="仿宋_GB2312"/>
          <w:sz w:val="28"/>
          <w:szCs w:val="28"/>
          <w:lang w:val="en-US" w:eastAsia="zh-CN"/>
        </w:rPr>
        <w:t>（一）符合申请条件的本科生自愿提出申请并在规定时间内提交所有参评材料。所需材料包括：《本科生国家奖学金申请审批表》（纸质）、本科生国家奖学金学院汇总表（电子）、课程学习成绩单、参评学年校级及以上获奖证书复印件及其他支撑材料。</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lang w:eastAsia="zh-CN"/>
        </w:rPr>
      </w:pPr>
      <w:r>
        <w:rPr>
          <w:rFonts w:hint="eastAsia" w:ascii="仿宋_GB2312" w:eastAsia="仿宋_GB2312"/>
          <w:sz w:val="28"/>
          <w:szCs w:val="28"/>
          <w:lang w:eastAsia="zh-CN"/>
        </w:rPr>
        <w:t>（</w:t>
      </w:r>
      <w:r>
        <w:rPr>
          <w:rFonts w:hint="eastAsia" w:ascii="仿宋_GB2312" w:eastAsia="仿宋_GB2312"/>
          <w:sz w:val="28"/>
          <w:szCs w:val="28"/>
          <w:lang w:val="en-US" w:eastAsia="zh-CN"/>
        </w:rPr>
        <w:t>二</w:t>
      </w:r>
      <w:r>
        <w:rPr>
          <w:rFonts w:hint="eastAsia" w:ascii="仿宋_GB2312" w:eastAsia="仿宋_GB2312"/>
          <w:sz w:val="28"/>
          <w:szCs w:val="28"/>
          <w:lang w:eastAsia="zh-CN"/>
        </w:rPr>
        <w:t>）地学院学工组对申请材料进行初审。</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rPr>
      </w:pPr>
      <w:r>
        <w:rPr>
          <w:rFonts w:hint="eastAsia" w:ascii="仿宋_GB2312" w:eastAsia="仿宋_GB2312"/>
          <w:sz w:val="28"/>
          <w:szCs w:val="28"/>
          <w:lang w:eastAsia="zh-CN"/>
        </w:rPr>
        <w:t>（</w:t>
      </w:r>
      <w:r>
        <w:rPr>
          <w:rFonts w:hint="eastAsia" w:ascii="仿宋_GB2312" w:eastAsia="仿宋_GB2312"/>
          <w:sz w:val="28"/>
          <w:szCs w:val="28"/>
          <w:lang w:val="en-US" w:eastAsia="zh-CN"/>
        </w:rPr>
        <w:t>三</w:t>
      </w:r>
      <w:r>
        <w:rPr>
          <w:rFonts w:hint="eastAsia" w:ascii="仿宋_GB2312" w:eastAsia="仿宋_GB2312"/>
          <w:sz w:val="28"/>
          <w:szCs w:val="28"/>
          <w:lang w:eastAsia="zh-CN"/>
        </w:rPr>
        <w:t>）</w:t>
      </w:r>
      <w:r>
        <w:rPr>
          <w:rFonts w:hint="eastAsia" w:ascii="仿宋_GB2312" w:eastAsia="仿宋_GB2312"/>
          <w:sz w:val="28"/>
          <w:szCs w:val="28"/>
          <w:lang w:val="en-US" w:eastAsia="zh-CN"/>
        </w:rPr>
        <w:t>地学院本科生</w:t>
      </w:r>
      <w:r>
        <w:rPr>
          <w:rFonts w:hint="eastAsia" w:ascii="仿宋_GB2312" w:eastAsia="仿宋_GB2312"/>
          <w:sz w:val="28"/>
          <w:szCs w:val="28"/>
        </w:rPr>
        <w:t>评审委员会组织评审</w:t>
      </w:r>
      <w:r>
        <w:rPr>
          <w:rFonts w:hint="eastAsia" w:ascii="仿宋_GB2312" w:eastAsia="仿宋_GB2312"/>
          <w:sz w:val="28"/>
          <w:szCs w:val="28"/>
          <w:lang w:val="en-US" w:eastAsia="zh-CN"/>
        </w:rPr>
        <w:t>并</w:t>
      </w:r>
      <w:r>
        <w:rPr>
          <w:rFonts w:hint="eastAsia" w:ascii="仿宋_GB2312" w:eastAsia="仿宋_GB2312"/>
          <w:sz w:val="28"/>
          <w:szCs w:val="28"/>
        </w:rPr>
        <w:t>按照学校下达名额确定本学院拟推荐学生名单，</w:t>
      </w:r>
      <w:r>
        <w:rPr>
          <w:rFonts w:hint="eastAsia" w:ascii="仿宋_GB2312" w:eastAsia="仿宋_GB2312"/>
          <w:sz w:val="28"/>
          <w:szCs w:val="28"/>
          <w:lang w:val="en-US" w:eastAsia="zh-CN"/>
        </w:rPr>
        <w:t>且</w:t>
      </w:r>
      <w:r>
        <w:rPr>
          <w:rFonts w:hint="eastAsia" w:ascii="仿宋_GB2312" w:eastAsia="仿宋_GB2312"/>
          <w:sz w:val="28"/>
          <w:szCs w:val="28"/>
        </w:rPr>
        <w:t>在全院范围内公示3个工作日，无异议后将推荐学生名单报送至党委学生工作部（处）。</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ascii="仿宋_GB2312" w:eastAsia="仿宋_GB2312"/>
          <w:sz w:val="28"/>
          <w:szCs w:val="28"/>
        </w:rPr>
      </w:pPr>
      <w:r>
        <w:rPr>
          <w:rFonts w:hint="eastAsia" w:ascii="仿宋_GB2312" w:eastAsia="仿宋_GB2312"/>
          <w:sz w:val="28"/>
          <w:szCs w:val="28"/>
        </w:rPr>
        <w:t>第十</w:t>
      </w:r>
      <w:r>
        <w:rPr>
          <w:rFonts w:hint="eastAsia" w:ascii="仿宋_GB2312" w:eastAsia="仿宋_GB2312"/>
          <w:sz w:val="28"/>
          <w:szCs w:val="28"/>
          <w:lang w:val="en-US" w:eastAsia="zh-CN"/>
        </w:rPr>
        <w:t>二</w:t>
      </w:r>
      <w:r>
        <w:rPr>
          <w:rFonts w:hint="eastAsia" w:ascii="仿宋_GB2312" w:eastAsia="仿宋_GB2312"/>
          <w:sz w:val="28"/>
          <w:szCs w:val="28"/>
        </w:rPr>
        <w:t xml:space="preserve">条  </w:t>
      </w:r>
      <w:r>
        <w:rPr>
          <w:rFonts w:hint="eastAsia" w:ascii="仿宋" w:hAnsi="仿宋" w:eastAsia="仿宋" w:cs="仿宋"/>
          <w:sz w:val="28"/>
          <w:szCs w:val="28"/>
        </w:rPr>
        <w:t>对本科生国家奖学金评审结果有异议的学生</w:t>
      </w:r>
      <w:r>
        <w:rPr>
          <w:rFonts w:hint="eastAsia" w:ascii="仿宋" w:hAnsi="仿宋" w:eastAsia="仿宋" w:cs="仿宋"/>
          <w:spacing w:val="-16"/>
          <w:sz w:val="28"/>
          <w:szCs w:val="28"/>
        </w:rPr>
        <w:t>，</w:t>
      </w:r>
      <w:r>
        <w:rPr>
          <w:rFonts w:hint="eastAsia" w:ascii="仿宋" w:hAnsi="仿宋" w:eastAsia="仿宋" w:cs="仿宋"/>
          <w:sz w:val="28"/>
          <w:szCs w:val="28"/>
        </w:rPr>
        <w:t>可在学院公示阶段向</w:t>
      </w:r>
      <w:r>
        <w:rPr>
          <w:rFonts w:hint="eastAsia" w:ascii="仿宋" w:hAnsi="仿宋" w:eastAsia="仿宋" w:cs="仿宋"/>
          <w:sz w:val="28"/>
          <w:szCs w:val="28"/>
          <w:lang w:val="en-US" w:eastAsia="zh-CN"/>
        </w:rPr>
        <w:t>地</w:t>
      </w:r>
      <w:r>
        <w:rPr>
          <w:rFonts w:hint="eastAsia" w:ascii="仿宋" w:hAnsi="仿宋" w:eastAsia="仿宋" w:cs="仿宋"/>
          <w:sz w:val="28"/>
          <w:szCs w:val="28"/>
        </w:rPr>
        <w:t>学院</w:t>
      </w:r>
      <w:r>
        <w:rPr>
          <w:rFonts w:hint="eastAsia" w:ascii="仿宋" w:hAnsi="仿宋" w:eastAsia="仿宋" w:cs="仿宋"/>
          <w:sz w:val="28"/>
          <w:szCs w:val="28"/>
          <w:lang w:val="en-US" w:eastAsia="zh-CN"/>
        </w:rPr>
        <w:t>本科生国家奖学金</w:t>
      </w:r>
      <w:r>
        <w:rPr>
          <w:rFonts w:hint="eastAsia" w:ascii="仿宋" w:hAnsi="仿宋" w:eastAsia="仿宋" w:cs="仿宋"/>
          <w:sz w:val="28"/>
          <w:szCs w:val="28"/>
        </w:rPr>
        <w:t>评审委员会提出申诉</w:t>
      </w:r>
      <w:r>
        <w:rPr>
          <w:rFonts w:hint="eastAsia" w:ascii="仿宋" w:hAnsi="仿宋" w:eastAsia="仿宋" w:cs="仿宋"/>
          <w:spacing w:val="-15"/>
          <w:sz w:val="28"/>
          <w:szCs w:val="28"/>
        </w:rPr>
        <w:t>，学院</w:t>
      </w:r>
      <w:r>
        <w:rPr>
          <w:rFonts w:hint="eastAsia" w:ascii="仿宋" w:hAnsi="仿宋" w:eastAsia="仿宋" w:cs="仿宋"/>
          <w:sz w:val="28"/>
          <w:szCs w:val="28"/>
        </w:rPr>
        <w:t>评审委员会应及时研究并予以答复</w:t>
      </w:r>
      <w:r>
        <w:rPr>
          <w:rFonts w:hint="eastAsia" w:ascii="仿宋" w:hAnsi="仿宋" w:eastAsia="仿宋" w:cs="仿宋"/>
          <w:spacing w:val="-13"/>
          <w:sz w:val="28"/>
          <w:szCs w:val="28"/>
        </w:rPr>
        <w:t>。</w:t>
      </w:r>
      <w:r>
        <w:rPr>
          <w:rFonts w:hint="eastAsia" w:ascii="仿宋" w:hAnsi="仿宋" w:eastAsia="仿宋" w:cs="仿宋"/>
          <w:sz w:val="28"/>
          <w:szCs w:val="28"/>
        </w:rPr>
        <w:t>如学生对学院作出的答复仍存在异议</w:t>
      </w:r>
      <w:r>
        <w:rPr>
          <w:rFonts w:hint="eastAsia" w:ascii="仿宋" w:hAnsi="仿宋" w:eastAsia="仿宋" w:cs="仿宋"/>
          <w:spacing w:val="-15"/>
          <w:sz w:val="28"/>
          <w:szCs w:val="28"/>
        </w:rPr>
        <w:t>，</w:t>
      </w:r>
      <w:r>
        <w:rPr>
          <w:rFonts w:hint="eastAsia" w:ascii="仿宋" w:hAnsi="仿宋" w:eastAsia="仿宋" w:cs="仿宋"/>
          <w:sz w:val="28"/>
          <w:szCs w:val="28"/>
        </w:rPr>
        <w:t>可在学校公示阶段向学校国家奖助学金评审工作领导小组提请裁决。</w:t>
      </w:r>
    </w:p>
    <w:p>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eastAsia="仿宋_GB2312"/>
          <w:sz w:val="28"/>
          <w:szCs w:val="28"/>
        </w:rPr>
      </w:pPr>
      <w:r>
        <w:rPr>
          <w:rFonts w:hint="eastAsia" w:ascii="仿宋_GB2312" w:eastAsia="仿宋_GB2312"/>
          <w:sz w:val="28"/>
          <w:szCs w:val="28"/>
        </w:rPr>
        <w:t>第</w:t>
      </w:r>
      <w:r>
        <w:rPr>
          <w:rFonts w:hint="eastAsia" w:ascii="仿宋_GB2312" w:eastAsia="仿宋_GB2312"/>
          <w:sz w:val="28"/>
          <w:szCs w:val="28"/>
          <w:lang w:val="en-US" w:eastAsia="zh-CN"/>
        </w:rPr>
        <w:t>十三</w:t>
      </w:r>
      <w:r>
        <w:rPr>
          <w:rFonts w:hint="eastAsia" w:ascii="仿宋_GB2312" w:eastAsia="仿宋_GB2312"/>
          <w:sz w:val="28"/>
          <w:szCs w:val="28"/>
        </w:rPr>
        <w:t>条  本细则于2020年9月1</w:t>
      </w:r>
      <w:r>
        <w:rPr>
          <w:rFonts w:hint="eastAsia" w:ascii="仿宋_GB2312" w:eastAsia="仿宋_GB2312"/>
          <w:sz w:val="28"/>
          <w:szCs w:val="28"/>
          <w:lang w:val="en-US" w:eastAsia="zh-CN"/>
        </w:rPr>
        <w:t>7</w:t>
      </w:r>
      <w:r>
        <w:rPr>
          <w:rFonts w:hint="eastAsia" w:ascii="仿宋_GB2312" w:eastAsia="仿宋_GB2312"/>
          <w:sz w:val="28"/>
          <w:szCs w:val="28"/>
        </w:rPr>
        <w:t>日经地球科学与资源学院</w:t>
      </w:r>
      <w:r>
        <w:rPr>
          <w:rFonts w:hint="eastAsia" w:ascii="仿宋_GB2312" w:eastAsia="仿宋_GB2312"/>
          <w:sz w:val="28"/>
          <w:szCs w:val="28"/>
          <w:lang w:val="en-US" w:eastAsia="zh-CN"/>
        </w:rPr>
        <w:t>本科</w:t>
      </w:r>
      <w:r>
        <w:rPr>
          <w:rFonts w:hint="eastAsia" w:ascii="仿宋_GB2312" w:eastAsia="仿宋_GB2312"/>
          <w:sz w:val="28"/>
          <w:szCs w:val="28"/>
        </w:rPr>
        <w:t>生评审委员会审议通过，由评审委员会负责解释。</w:t>
      </w:r>
    </w:p>
    <w:p>
      <w:pPr>
        <w:keepNext w:val="0"/>
        <w:keepLines w:val="0"/>
        <w:pageBreakBefore w:val="0"/>
        <w:widowControl w:val="0"/>
        <w:kinsoku/>
        <w:wordWrap/>
        <w:overflowPunct/>
        <w:topLinePunct w:val="0"/>
        <w:autoSpaceDE/>
        <w:autoSpaceDN/>
        <w:bidi w:val="0"/>
        <w:spacing w:line="550" w:lineRule="exact"/>
        <w:ind w:firstLine="560" w:firstLineChars="200"/>
        <w:textAlignment w:val="auto"/>
        <w:rPr>
          <w:rFonts w:hint="eastAsia" w:ascii="仿宋_GB2312" w:eastAsia="仿宋_GB2312"/>
          <w:sz w:val="28"/>
          <w:szCs w:val="28"/>
        </w:rPr>
      </w:pPr>
    </w:p>
    <w:p>
      <w:pPr>
        <w:keepNext w:val="0"/>
        <w:keepLines w:val="0"/>
        <w:pageBreakBefore w:val="0"/>
        <w:widowControl w:val="0"/>
        <w:kinsoku/>
        <w:wordWrap/>
        <w:overflowPunct/>
        <w:topLinePunct w:val="0"/>
        <w:autoSpaceDE/>
        <w:autoSpaceDN/>
        <w:bidi w:val="0"/>
        <w:spacing w:line="550" w:lineRule="exact"/>
        <w:ind w:firstLine="560" w:firstLineChars="200"/>
        <w:textAlignment w:val="auto"/>
        <w:rPr>
          <w:rFonts w:hint="eastAsia" w:ascii="仿宋_GB2312" w:eastAsia="仿宋_GB2312"/>
          <w:sz w:val="28"/>
          <w:szCs w:val="28"/>
        </w:rPr>
      </w:pPr>
    </w:p>
    <w:p>
      <w:pPr>
        <w:keepNext w:val="0"/>
        <w:keepLines w:val="0"/>
        <w:pageBreakBefore w:val="0"/>
        <w:widowControl w:val="0"/>
        <w:kinsoku/>
        <w:wordWrap/>
        <w:overflowPunct/>
        <w:topLinePunct w:val="0"/>
        <w:autoSpaceDE/>
        <w:autoSpaceDN/>
        <w:bidi w:val="0"/>
        <w:adjustRightInd/>
        <w:snapToGrid/>
        <w:spacing w:line="550" w:lineRule="exact"/>
        <w:ind w:left="0" w:leftChars="0" w:firstLine="570"/>
        <w:jc w:val="right"/>
        <w:textAlignment w:val="auto"/>
        <w:rPr>
          <w:rFonts w:hint="eastAsia" w:ascii="仿宋" w:hAnsi="仿宋" w:eastAsia="仿宋" w:cs="仿宋"/>
          <w:sz w:val="28"/>
          <w:szCs w:val="28"/>
        </w:rPr>
      </w:pPr>
      <w:r>
        <w:rPr>
          <w:rFonts w:hint="eastAsia" w:ascii="仿宋" w:hAnsi="仿宋" w:eastAsia="仿宋" w:cs="仿宋"/>
          <w:sz w:val="28"/>
          <w:szCs w:val="28"/>
        </w:rPr>
        <w:t>中国地质大学（北京）地球科学与资源学院</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570"/>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本科生国家奖学金评审委员会   </w:t>
      </w:r>
    </w:p>
    <w:p>
      <w:pPr>
        <w:keepNext w:val="0"/>
        <w:keepLines w:val="0"/>
        <w:pageBreakBefore w:val="0"/>
        <w:widowControl w:val="0"/>
        <w:kinsoku/>
        <w:wordWrap/>
        <w:overflowPunct/>
        <w:topLinePunct w:val="0"/>
        <w:autoSpaceDE/>
        <w:autoSpaceDN/>
        <w:bidi w:val="0"/>
        <w:spacing w:line="550" w:lineRule="exact"/>
        <w:ind w:firstLine="560" w:firstLineChars="200"/>
        <w:textAlignment w:val="auto"/>
        <w:rPr>
          <w:rFonts w:hint="eastAsia" w:ascii="仿宋_GB2312" w:eastAsia="仿宋_GB2312"/>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20</w:t>
      </w:r>
      <w:r>
        <w:rPr>
          <w:rFonts w:hint="eastAsia" w:ascii="仿宋" w:hAnsi="仿宋" w:eastAsia="仿宋" w:cs="仿宋"/>
          <w:sz w:val="28"/>
          <w:szCs w:val="28"/>
          <w:lang w:val="en-US" w:eastAsia="zh-CN"/>
        </w:rPr>
        <w:t>20</w:t>
      </w:r>
      <w:r>
        <w:rPr>
          <w:rFonts w:hint="eastAsia" w:ascii="仿宋" w:hAnsi="仿宋" w:eastAsia="仿宋" w:cs="仿宋"/>
          <w:sz w:val="28"/>
          <w:szCs w:val="28"/>
        </w:rPr>
        <w:t>年9月1</w:t>
      </w:r>
      <w:r>
        <w:rPr>
          <w:rFonts w:hint="eastAsia" w:ascii="仿宋" w:hAnsi="仿宋" w:eastAsia="仿宋" w:cs="仿宋"/>
          <w:sz w:val="28"/>
          <w:szCs w:val="28"/>
          <w:lang w:val="en-US" w:eastAsia="zh-CN"/>
        </w:rPr>
        <w:t>7</w:t>
      </w:r>
      <w:bookmarkStart w:id="0" w:name="_GoBack"/>
      <w:bookmarkEnd w:id="0"/>
      <w:r>
        <w:rPr>
          <w:rFonts w:hint="eastAsia" w:ascii="仿宋" w:hAnsi="仿宋" w:eastAsia="仿宋" w:cs="仿宋"/>
          <w:sz w:val="28"/>
          <w:szCs w:val="28"/>
        </w:rPr>
        <w:t>日</w:t>
      </w:r>
      <w:r>
        <w:rPr>
          <w:rFonts w:hint="eastAsia" w:ascii="仿宋" w:hAnsi="仿宋" w:eastAsia="仿宋" w:cs="仿宋"/>
          <w:sz w:val="28"/>
          <w:szCs w:val="28"/>
          <w:lang w:val="en-US" w:eastAsia="zh-CN"/>
        </w:rPr>
        <w:t xml:space="preserve">   </w:t>
      </w:r>
    </w:p>
    <w:sectPr>
      <w:footerReference r:id="rId3" w:type="default"/>
      <w:footerReference r:id="rId4" w:type="even"/>
      <w:pgSz w:w="11906" w:h="16838"/>
      <w:pgMar w:top="2041" w:right="1531" w:bottom="2041" w:left="1531" w:header="851" w:footer="1701"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ind w:left="392" w:leftChars="140" w:right="392" w:rightChars="140"/>
      <w:rPr>
        <w:rStyle w:val="7"/>
        <w:rFonts w:hint="eastAsia" w:ascii="宋体" w:hAnsi="宋体"/>
        <w:sz w:val="28"/>
      </w:rPr>
    </w:pPr>
    <w:r>
      <w:rPr>
        <w:rStyle w:val="7"/>
        <w:rFonts w:hint="eastAsia" w:ascii="仿宋_GB2312"/>
        <w:sz w:val="24"/>
      </w:rPr>
      <w:t xml:space="preserve">— </w:t>
    </w:r>
    <w:r>
      <w:rPr>
        <w:rFonts w:ascii="宋体" w:hAnsi="宋体"/>
        <w:sz w:val="24"/>
      </w:rPr>
      <w:fldChar w:fldCharType="begin"/>
    </w:r>
    <w:r>
      <w:rPr>
        <w:rStyle w:val="7"/>
        <w:rFonts w:ascii="宋体" w:hAnsi="宋体"/>
        <w:sz w:val="24"/>
      </w:rPr>
      <w:instrText xml:space="preserve">PAGE  </w:instrText>
    </w:r>
    <w:r>
      <w:rPr>
        <w:rFonts w:ascii="宋体" w:hAnsi="宋体"/>
        <w:sz w:val="24"/>
      </w:rPr>
      <w:fldChar w:fldCharType="separate"/>
    </w:r>
    <w:r>
      <w:rPr>
        <w:rStyle w:val="7"/>
        <w:rFonts w:ascii="宋体" w:hAnsi="宋体"/>
        <w:sz w:val="24"/>
      </w:rPr>
      <w:t>2</w:t>
    </w:r>
    <w:r>
      <w:rPr>
        <w:rFonts w:ascii="宋体" w:hAnsi="宋体"/>
        <w:sz w:val="24"/>
      </w:rPr>
      <w:fldChar w:fldCharType="end"/>
    </w:r>
    <w:r>
      <w:rPr>
        <w:rStyle w:val="7"/>
        <w:rFonts w:hint="eastAsia" w:ascii="仿宋_GB2312"/>
        <w:sz w:val="24"/>
      </w:rPr>
      <w:t xml:space="preserve"> —</w:t>
    </w:r>
  </w:p>
  <w:p>
    <w:pPr>
      <w:pStyle w:val="3"/>
      <w:framePr w:hSpace="227" w:wrap="around" w:vAnchor="page" w:hAnchor="page" w:x="1532" w:yAlign="top"/>
      <w:ind w:right="360" w:firstLine="360"/>
      <w:rPr>
        <w:rStyle w:val="7"/>
      </w:rPr>
    </w:pPr>
  </w:p>
  <w:p>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Pr>
    </w:pPr>
    <w:r>
      <w:fldChar w:fldCharType="begin"/>
    </w:r>
    <w:r>
      <w:rPr>
        <w:rStyle w:val="7"/>
      </w:rPr>
      <w:instrText xml:space="preserve">PAGE  </w:instrText>
    </w:r>
    <w:r>
      <w:fldChar w:fldCharType="end"/>
    </w:r>
  </w:p>
  <w:p>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hyphenationZone w:val="360"/>
  <w:displayHorizontalDrawingGridEvery w:val="1"/>
  <w:displayVerticalDrawingGridEvery w:val="1"/>
  <w:noPunctuationKerning w:val="1"/>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63D"/>
    <w:rsid w:val="00030048"/>
    <w:rsid w:val="00032A10"/>
    <w:rsid w:val="00070E41"/>
    <w:rsid w:val="000964D0"/>
    <w:rsid w:val="000A563D"/>
    <w:rsid w:val="000A59CF"/>
    <w:rsid w:val="000B688E"/>
    <w:rsid w:val="000D51C9"/>
    <w:rsid w:val="001241F1"/>
    <w:rsid w:val="001332A7"/>
    <w:rsid w:val="001641B6"/>
    <w:rsid w:val="00176DA1"/>
    <w:rsid w:val="001A260B"/>
    <w:rsid w:val="001C50D9"/>
    <w:rsid w:val="0020359A"/>
    <w:rsid w:val="00210F44"/>
    <w:rsid w:val="00245BFF"/>
    <w:rsid w:val="00263F5E"/>
    <w:rsid w:val="00271076"/>
    <w:rsid w:val="0027308D"/>
    <w:rsid w:val="002D2CE9"/>
    <w:rsid w:val="002E1A95"/>
    <w:rsid w:val="002F4816"/>
    <w:rsid w:val="00333DE6"/>
    <w:rsid w:val="00361193"/>
    <w:rsid w:val="00362757"/>
    <w:rsid w:val="00362C80"/>
    <w:rsid w:val="00380E2F"/>
    <w:rsid w:val="00391AEE"/>
    <w:rsid w:val="003A7D96"/>
    <w:rsid w:val="003B17F5"/>
    <w:rsid w:val="003F43F9"/>
    <w:rsid w:val="004768C3"/>
    <w:rsid w:val="00495C9A"/>
    <w:rsid w:val="004A3F5B"/>
    <w:rsid w:val="004D31C2"/>
    <w:rsid w:val="00501B89"/>
    <w:rsid w:val="005255CE"/>
    <w:rsid w:val="005678D0"/>
    <w:rsid w:val="00581203"/>
    <w:rsid w:val="00582401"/>
    <w:rsid w:val="00585A29"/>
    <w:rsid w:val="005D1672"/>
    <w:rsid w:val="005E3464"/>
    <w:rsid w:val="0060474E"/>
    <w:rsid w:val="006366E3"/>
    <w:rsid w:val="006736F2"/>
    <w:rsid w:val="006A49C8"/>
    <w:rsid w:val="006D1BF9"/>
    <w:rsid w:val="006D6887"/>
    <w:rsid w:val="006E1CA8"/>
    <w:rsid w:val="006E50C4"/>
    <w:rsid w:val="006F1B0F"/>
    <w:rsid w:val="00730907"/>
    <w:rsid w:val="00771C9A"/>
    <w:rsid w:val="007802D0"/>
    <w:rsid w:val="00781208"/>
    <w:rsid w:val="007B41F3"/>
    <w:rsid w:val="007B6F15"/>
    <w:rsid w:val="007E6967"/>
    <w:rsid w:val="007F0255"/>
    <w:rsid w:val="00836431"/>
    <w:rsid w:val="00846A11"/>
    <w:rsid w:val="00847E99"/>
    <w:rsid w:val="00853CD1"/>
    <w:rsid w:val="0089497C"/>
    <w:rsid w:val="008957FF"/>
    <w:rsid w:val="008B14FB"/>
    <w:rsid w:val="008C2E2D"/>
    <w:rsid w:val="008D4940"/>
    <w:rsid w:val="008D66F5"/>
    <w:rsid w:val="008E4F0C"/>
    <w:rsid w:val="008F6BDD"/>
    <w:rsid w:val="009237FC"/>
    <w:rsid w:val="00926DC1"/>
    <w:rsid w:val="00972090"/>
    <w:rsid w:val="0098709A"/>
    <w:rsid w:val="00993073"/>
    <w:rsid w:val="009B5F17"/>
    <w:rsid w:val="009F736E"/>
    <w:rsid w:val="00A27B47"/>
    <w:rsid w:val="00A41E33"/>
    <w:rsid w:val="00A70C28"/>
    <w:rsid w:val="00A91106"/>
    <w:rsid w:val="00AC3E9B"/>
    <w:rsid w:val="00AD3D6D"/>
    <w:rsid w:val="00B001D9"/>
    <w:rsid w:val="00B2594B"/>
    <w:rsid w:val="00B30BCB"/>
    <w:rsid w:val="00B449C4"/>
    <w:rsid w:val="00B550BC"/>
    <w:rsid w:val="00B632AE"/>
    <w:rsid w:val="00B826B6"/>
    <w:rsid w:val="00BB1AC5"/>
    <w:rsid w:val="00BB289F"/>
    <w:rsid w:val="00BE5974"/>
    <w:rsid w:val="00C21A8E"/>
    <w:rsid w:val="00C32F30"/>
    <w:rsid w:val="00C40485"/>
    <w:rsid w:val="00CA0E50"/>
    <w:rsid w:val="00CB0671"/>
    <w:rsid w:val="00CB5447"/>
    <w:rsid w:val="00D05A3A"/>
    <w:rsid w:val="00D17916"/>
    <w:rsid w:val="00D263D0"/>
    <w:rsid w:val="00D40606"/>
    <w:rsid w:val="00D51692"/>
    <w:rsid w:val="00D520CD"/>
    <w:rsid w:val="00D52390"/>
    <w:rsid w:val="00D851D2"/>
    <w:rsid w:val="00D85582"/>
    <w:rsid w:val="00DA5EC7"/>
    <w:rsid w:val="00DD7753"/>
    <w:rsid w:val="00DE0760"/>
    <w:rsid w:val="00E107B5"/>
    <w:rsid w:val="00E11831"/>
    <w:rsid w:val="00E23321"/>
    <w:rsid w:val="00E509F8"/>
    <w:rsid w:val="00E53F4B"/>
    <w:rsid w:val="00E601B1"/>
    <w:rsid w:val="00E93668"/>
    <w:rsid w:val="00E96F81"/>
    <w:rsid w:val="00EC0088"/>
    <w:rsid w:val="00F0140A"/>
    <w:rsid w:val="00F12F01"/>
    <w:rsid w:val="00F168E8"/>
    <w:rsid w:val="00F65D62"/>
    <w:rsid w:val="00FA5745"/>
    <w:rsid w:val="00FC12DB"/>
    <w:rsid w:val="04333A0F"/>
    <w:rsid w:val="0D8E229F"/>
    <w:rsid w:val="179E6E64"/>
    <w:rsid w:val="28A07D6F"/>
    <w:rsid w:val="3C6A2164"/>
    <w:rsid w:val="3D3859DC"/>
    <w:rsid w:val="4E394A01"/>
    <w:rsid w:val="4F8F4EA5"/>
    <w:rsid w:val="555948E6"/>
    <w:rsid w:val="60803734"/>
    <w:rsid w:val="6E4318EB"/>
    <w:rsid w:val="734B46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tabs>
        <w:tab w:val="left" w:pos="0"/>
      </w:tabs>
      <w:adjustRightInd w:val="0"/>
      <w:snapToGrid w:val="0"/>
      <w:spacing w:line="240" w:lineRule="atLeast"/>
      <w:jc w:val="both"/>
    </w:pPr>
    <w:rPr>
      <w:rFonts w:ascii="Times New Roman" w:hAnsi="Times New Roman" w:eastAsia="宋体" w:cs="Times New Roman"/>
      <w:kern w:val="2"/>
      <w:sz w:val="28"/>
      <w:szCs w:val="24"/>
      <w:lang w:val="en-US" w:eastAsia="zh-CN" w:bidi="ar-SA"/>
    </w:rPr>
  </w:style>
  <w:style w:type="character" w:default="1" w:styleId="5">
    <w:name w:val="Default Paragraph Font"/>
    <w:link w:val="6"/>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line="640" w:lineRule="atLeast"/>
    </w:pPr>
    <w:rPr>
      <w:rFonts w:eastAsia="仿宋_GB2312"/>
      <w:sz w:val="32"/>
    </w:rPr>
  </w:style>
  <w:style w:type="paragraph" w:styleId="3">
    <w:name w:val="footer"/>
    <w:basedOn w:val="1"/>
    <w:uiPriority w:val="0"/>
    <w:pPr>
      <w:tabs>
        <w:tab w:val="center" w:pos="4153"/>
        <w:tab w:val="right" w:pos="8306"/>
        <w:tab w:val="clear" w:pos="0"/>
      </w:tabs>
      <w:jc w:val="left"/>
    </w:pPr>
    <w:rPr>
      <w:sz w:val="18"/>
      <w:szCs w:val="18"/>
    </w:rPr>
  </w:style>
  <w:style w:type="paragraph" w:customStyle="1" w:styleId="6">
    <w:name w:val=" Char"/>
    <w:basedOn w:val="1"/>
    <w:link w:val="5"/>
    <w:semiHidden/>
    <w:qFormat/>
    <w:uiPriority w:val="0"/>
    <w:pPr>
      <w:widowControl/>
      <w:tabs>
        <w:tab w:val="clear" w:pos="0"/>
      </w:tabs>
      <w:adjustRightInd/>
      <w:snapToGrid/>
      <w:spacing w:line="240" w:lineRule="auto"/>
      <w:ind w:firstLine="420" w:firstLineChars="200"/>
      <w:jc w:val="left"/>
    </w:pPr>
    <w:rPr>
      <w:rFonts w:hAnsi="宋体"/>
      <w:color w:val="000000"/>
      <w:sz w:val="21"/>
      <w:lang w:bidi="he-IL"/>
    </w:rPr>
  </w:style>
  <w:style w:type="character" w:styleId="7">
    <w:name w:val="page number"/>
    <w:basedOn w:val="5"/>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20140;&#21457;%20&#20462;&#3574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京发 修订.dot</Template>
  <Pages>1</Pages>
  <Words>481</Words>
  <Characters>2746</Characters>
  <Lines>22</Lines>
  <Paragraphs>6</Paragraphs>
  <TotalTime>4</TotalTime>
  <ScaleCrop>false</ScaleCrop>
  <LinksUpToDate>false</LinksUpToDate>
  <CharactersWithSpaces>3221</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2020-09-07T01:33:00Z</dcterms:created>
  <dc:creator>郑伟波</dc:creator>
  <cp:lastModifiedBy>红星闪闪</cp:lastModifiedBy>
  <cp:lastPrinted>2020-09-10T07:43:00Z</cp:lastPrinted>
  <dcterms:modified xsi:type="dcterms:W3CDTF">2020-09-19T11:59:30Z</dcterms:modified>
  <dc:title>中地大京发〔2005〕号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